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E" w:rsidRPr="00F52C0E" w:rsidRDefault="00F52C0E" w:rsidP="00F52C0E">
      <w:pPr>
        <w:pStyle w:val="a6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bookmarkStart w:id="0" w:name="_GoBack"/>
      <w:r w:rsidRPr="00F52C0E">
        <w:rPr>
          <w:b/>
          <w:bCs/>
          <w:sz w:val="32"/>
          <w:szCs w:val="32"/>
        </w:rPr>
        <w:t>Способы и приемы игры на двух ложках</w:t>
      </w:r>
    </w:p>
    <w:bookmarkEnd w:id="0"/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2C0E">
        <w:rPr>
          <w:color w:val="000000" w:themeColor="text1"/>
          <w:sz w:val="28"/>
          <w:szCs w:val="28"/>
        </w:rPr>
        <w:t xml:space="preserve">Наблюдая игру на ложках, можно заметить, что исполнители во время игры нередко меняют в руках их положение, при этом ложки сжимают пальцами каждый раз по-разному. Меняют и количество ложек во время игры: то играют на двух, то на трёх, четырёх и более. Играют стоя и сидя. 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2C0E">
        <w:rPr>
          <w:color w:val="000000" w:themeColor="text1"/>
          <w:sz w:val="28"/>
          <w:szCs w:val="28"/>
        </w:rPr>
        <w:t xml:space="preserve">Ложки могут находиться за поясом исполнителя /при игре стоя /, в голенищах сапог, сжиматься коленями ног / при игре сидя /. Всё это говорит о существовании различных способов игры на них. Термин «способ» в данном случае означает какую – либо определённую исходную позицию инструмента, т.е. вариант расположения ложек в руках исполнителя. В данной работе рассматривается способ игры на двух ложках. 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color w:val="000000" w:themeColor="text1"/>
          <w:sz w:val="28"/>
          <w:szCs w:val="28"/>
          <w:shd w:val="clear" w:color="auto" w:fill="FFFFFF"/>
        </w:rPr>
        <w:t>Рассмотрим самые простые приемы на двух ложках, которые до</w:t>
      </w:r>
      <w:r w:rsidRPr="00F52C0E">
        <w:rPr>
          <w:color w:val="222222"/>
          <w:sz w:val="28"/>
          <w:szCs w:val="28"/>
          <w:shd w:val="clear" w:color="auto" w:fill="FFFFFF"/>
        </w:rPr>
        <w:t>ступны всем детям.</w:t>
      </w:r>
    </w:p>
    <w:p w:rsidR="00F52C0E" w:rsidRPr="00F52C0E" w:rsidRDefault="00F52C0E" w:rsidP="00F52C0E">
      <w:pPr>
        <w:pStyle w:val="a6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t xml:space="preserve">Парными </w:t>
      </w:r>
      <w:r w:rsidRPr="00F52C0E">
        <w:rPr>
          <w:color w:val="222222"/>
          <w:sz w:val="28"/>
          <w:szCs w:val="28"/>
          <w:shd w:val="clear" w:color="auto" w:fill="FFFFFF"/>
        </w:rPr>
        <w:t xml:space="preserve">будем считать две одинаковые ложки, соединенные между собой и употребляемые совместно, составляющие единое целое (рис.1). Этот метод </w:t>
      </w:r>
      <w:proofErr w:type="spellStart"/>
      <w:r w:rsidRPr="00F52C0E">
        <w:rPr>
          <w:color w:val="222222"/>
          <w:sz w:val="28"/>
          <w:szCs w:val="28"/>
          <w:shd w:val="clear" w:color="auto" w:fill="FFFFFF"/>
        </w:rPr>
        <w:t>звукоизвлечения</w:t>
      </w:r>
      <w:proofErr w:type="spellEnd"/>
      <w:r w:rsidRPr="00F52C0E">
        <w:rPr>
          <w:color w:val="222222"/>
          <w:sz w:val="28"/>
          <w:szCs w:val="28"/>
          <w:shd w:val="clear" w:color="auto" w:fill="FFFFFF"/>
        </w:rPr>
        <w:t xml:space="preserve"> является основным, при игре на двух парных ложках, и распространен на начальном этапе обучения. Исполнитель держит за ручки парные ложки в правой руке, отступив от середины к месту крепления таким образом, чтобы первый (большой) палец на правой руке находился между ручек, 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служа фиксатором и не давал черпакам смыкаться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>. Второй и третий палец, держат ручки ложек с внешней стороны, а четвертый и пятый пальцы придают кисти округлую форму. Главное условие этого положения – округлая кисть «без торчащих пальцев».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both"/>
        <w:rPr>
          <w:color w:val="222222"/>
          <w:sz w:val="28"/>
          <w:szCs w:val="28"/>
          <w:shd w:val="clear" w:color="auto" w:fill="FFFFFF"/>
        </w:rPr>
      </w:pP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9B4625F" wp14:editId="482ED4EA">
            <wp:extent cx="2965450" cy="2101850"/>
            <wp:effectExtent l="0" t="0" r="6350" b="0"/>
            <wp:docPr id="8" name="Рисунок 8" descr="IMG_20200310_10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10_105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color w:val="222222"/>
          <w:sz w:val="28"/>
          <w:szCs w:val="28"/>
          <w:shd w:val="clear" w:color="auto" w:fill="FFFFFF"/>
        </w:rPr>
        <w:t>(рис.1)</w:t>
      </w:r>
    </w:p>
    <w:p w:rsidR="00F52C0E" w:rsidRPr="00F52C0E" w:rsidRDefault="00F52C0E" w:rsidP="00F52C0E">
      <w:pPr>
        <w:pStyle w:val="a6"/>
        <w:numPr>
          <w:ilvl w:val="0"/>
          <w:numId w:val="1"/>
        </w:numPr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t xml:space="preserve">Непарные </w:t>
      </w:r>
      <w:r w:rsidRPr="00F52C0E">
        <w:rPr>
          <w:color w:val="222222"/>
          <w:sz w:val="28"/>
          <w:szCs w:val="28"/>
          <w:shd w:val="clear" w:color="auto" w:fill="FFFFFF"/>
        </w:rPr>
        <w:t xml:space="preserve">– это две ложки несоединенные между собой, но употребляемые совместно как единые (рис. 2). Ложки также держат три первых пальца, но фиксатором служит указательный палец, который находится между ручек. Таким 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образом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 xml:space="preserve"> зазор между черпаками будет огромным 2 -3 см. Чтобы черпаки смыкались и </w:t>
      </w:r>
      <w:r w:rsidRPr="00F52C0E">
        <w:rPr>
          <w:color w:val="222222"/>
          <w:sz w:val="28"/>
          <w:szCs w:val="28"/>
          <w:shd w:val="clear" w:color="auto" w:fill="FFFFFF"/>
        </w:rPr>
        <w:lastRenderedPageBreak/>
        <w:t xml:space="preserve">дали звук, нужно приложить усилие. Этот метод дошел 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до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 xml:space="preserve"> в неизменном виде, и его использование на наш взгляд не желательно, т.к. указательный палец, находящийся между ручек может испытывать боль.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F52C0E">
        <w:rPr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47AAFF42" wp14:editId="060F502F">
            <wp:extent cx="3206750" cy="2260600"/>
            <wp:effectExtent l="0" t="0" r="0" b="6350"/>
            <wp:docPr id="7" name="Рисунок 7" descr="IMG_20200310_10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310_1058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t>(рис.2)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52C0E">
        <w:rPr>
          <w:color w:val="000000" w:themeColor="text1"/>
          <w:sz w:val="28"/>
          <w:szCs w:val="28"/>
          <w:shd w:val="clear" w:color="auto" w:fill="FFFFFF"/>
        </w:rPr>
        <w:t xml:space="preserve">Приемов игры на ложках отличаются большим разнообразием – </w:t>
      </w:r>
      <w:proofErr w:type="gramStart"/>
      <w:r w:rsidRPr="00F52C0E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F52C0E">
        <w:rPr>
          <w:color w:val="000000" w:themeColor="text1"/>
          <w:sz w:val="28"/>
          <w:szCs w:val="28"/>
          <w:shd w:val="clear" w:color="auto" w:fill="FFFFFF"/>
        </w:rPr>
        <w:t xml:space="preserve"> самых элементарных до виртуозно сложных. </w:t>
      </w:r>
      <w:r w:rsidRPr="00F52C0E">
        <w:rPr>
          <w:color w:val="000000" w:themeColor="text1"/>
          <w:sz w:val="28"/>
          <w:szCs w:val="28"/>
        </w:rPr>
        <w:t xml:space="preserve">Если учесть, что при различных способах одни и те же игровые приёмы исполняются по-разному, создаётся впечатление, что их существует великое множество. 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2C0E">
        <w:rPr>
          <w:color w:val="000000" w:themeColor="text1"/>
          <w:sz w:val="28"/>
          <w:szCs w:val="28"/>
        </w:rPr>
        <w:t xml:space="preserve">Приём игры – есть приём </w:t>
      </w:r>
      <w:proofErr w:type="spellStart"/>
      <w:r w:rsidRPr="00F52C0E">
        <w:rPr>
          <w:color w:val="000000" w:themeColor="text1"/>
          <w:sz w:val="28"/>
          <w:szCs w:val="28"/>
        </w:rPr>
        <w:t>звукоизвлечения</w:t>
      </w:r>
      <w:proofErr w:type="spellEnd"/>
      <w:r w:rsidRPr="00F52C0E">
        <w:rPr>
          <w:color w:val="000000" w:themeColor="text1"/>
          <w:sz w:val="28"/>
          <w:szCs w:val="28"/>
        </w:rPr>
        <w:t>, в данном случае выполняемый определённым движением руки, от чего зависит характер прикосновения ложек о ложки или о корпус исполнителя. В итоге слышатся то одиночные, то дробные удары и т.д.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t>Вариант</w:t>
      </w:r>
      <w:proofErr w:type="gramStart"/>
      <w:r w:rsidRPr="00F52C0E">
        <w:rPr>
          <w:bCs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 w:rsidRPr="00F52C0E">
        <w:rPr>
          <w:bCs/>
          <w:color w:val="222222"/>
          <w:sz w:val="28"/>
          <w:szCs w:val="28"/>
          <w:shd w:val="clear" w:color="auto" w:fill="FFFFFF"/>
        </w:rPr>
        <w:t>:</w:t>
      </w:r>
      <w:r w:rsidRPr="00F52C0E">
        <w:rPr>
          <w:color w:val="222222"/>
          <w:sz w:val="28"/>
          <w:szCs w:val="28"/>
          <w:shd w:val="clear" w:color="auto" w:fill="FFFFFF"/>
        </w:rPr>
        <w:t xml:space="preserve"> Этот прием </w:t>
      </w:r>
      <w:proofErr w:type="spellStart"/>
      <w:r w:rsidRPr="00F52C0E">
        <w:rPr>
          <w:color w:val="222222"/>
          <w:sz w:val="28"/>
          <w:szCs w:val="28"/>
          <w:shd w:val="clear" w:color="auto" w:fill="FFFFFF"/>
        </w:rPr>
        <w:t>звукоизвлечения</w:t>
      </w:r>
      <w:proofErr w:type="spellEnd"/>
      <w:r w:rsidRPr="00F52C0E">
        <w:rPr>
          <w:color w:val="222222"/>
          <w:sz w:val="28"/>
          <w:szCs w:val="28"/>
          <w:shd w:val="clear" w:color="auto" w:fill="FFFFFF"/>
        </w:rPr>
        <w:t xml:space="preserve"> является старинным. В каждой закрытой ладони исполнитель держит ложки (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в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 xml:space="preserve"> левой – снизу, черпаком вниз, в правой – сверху, черпаком вверх). Во всех вариантах третьего метода возможны изменения </w:t>
      </w:r>
      <w:proofErr w:type="spellStart"/>
      <w:r w:rsidRPr="00F52C0E">
        <w:rPr>
          <w:color w:val="222222"/>
          <w:sz w:val="28"/>
          <w:szCs w:val="28"/>
          <w:shd w:val="clear" w:color="auto" w:fill="FFFFFF"/>
        </w:rPr>
        <w:t>звуковысотности</w:t>
      </w:r>
      <w:proofErr w:type="spellEnd"/>
      <w:r w:rsidRPr="00F52C0E">
        <w:rPr>
          <w:color w:val="222222"/>
          <w:sz w:val="28"/>
          <w:szCs w:val="28"/>
          <w:shd w:val="clear" w:color="auto" w:fill="FFFFFF"/>
        </w:rPr>
        <w:t>, т.к. резонатором будет служить изменение позиции ладони левой руки с пальцами (рис.3, рис.4).</w:t>
      </w:r>
    </w:p>
    <w:p w:rsidR="00F52C0E" w:rsidRPr="00F52C0E" w:rsidRDefault="00F52C0E" w:rsidP="00F52C0E">
      <w:pPr>
        <w:pStyle w:val="a6"/>
        <w:spacing w:before="0" w:beforeAutospacing="0" w:after="15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1483E050" wp14:editId="22410A3F">
            <wp:extent cx="2597150" cy="1816100"/>
            <wp:effectExtent l="0" t="0" r="0" b="0"/>
            <wp:docPr id="6" name="Рисунок 6" descr="IMG_20200310_1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310_11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C0E">
        <w:rPr>
          <w:color w:val="222222"/>
          <w:sz w:val="28"/>
          <w:szCs w:val="28"/>
          <w:shd w:val="clear" w:color="auto" w:fill="FFFFFF"/>
        </w:rPr>
        <w:t xml:space="preserve">           </w:t>
      </w:r>
      <w:r w:rsidRPr="00F52C0E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432DAAB" wp14:editId="1DFBAC69">
            <wp:extent cx="2609850" cy="1828800"/>
            <wp:effectExtent l="0" t="0" r="0" b="0"/>
            <wp:docPr id="5" name="Рисунок 5" descr="IMG_20200310_11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310_1100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E" w:rsidRPr="00F52C0E" w:rsidRDefault="00F52C0E" w:rsidP="00F52C0E">
      <w:pPr>
        <w:pStyle w:val="a6"/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color w:val="222222"/>
          <w:sz w:val="28"/>
          <w:szCs w:val="28"/>
          <w:shd w:val="clear" w:color="auto" w:fill="FFFFFF"/>
        </w:rPr>
        <w:t xml:space="preserve">                          (рис.3)                                                  (рис.4)</w:t>
      </w:r>
    </w:p>
    <w:p w:rsidR="00F52C0E" w:rsidRPr="00F52C0E" w:rsidRDefault="00F52C0E" w:rsidP="00F52C0E">
      <w:pPr>
        <w:pStyle w:val="a6"/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lastRenderedPageBreak/>
        <w:t>Вариант</w:t>
      </w:r>
      <w:proofErr w:type="gramStart"/>
      <w:r w:rsidRPr="00F52C0E">
        <w:rPr>
          <w:bCs/>
          <w:color w:val="222222"/>
          <w:sz w:val="28"/>
          <w:szCs w:val="28"/>
          <w:shd w:val="clear" w:color="auto" w:fill="FFFFFF"/>
        </w:rPr>
        <w:t xml:space="preserve"> Б</w:t>
      </w:r>
      <w:proofErr w:type="gramEnd"/>
      <w:r w:rsidRPr="00F52C0E">
        <w:rPr>
          <w:bCs/>
          <w:color w:val="222222"/>
          <w:sz w:val="28"/>
          <w:szCs w:val="28"/>
          <w:shd w:val="clear" w:color="auto" w:fill="FFFFFF"/>
        </w:rPr>
        <w:t>:</w:t>
      </w:r>
      <w:r w:rsidRPr="00F52C0E">
        <w:rPr>
          <w:color w:val="222222"/>
          <w:sz w:val="28"/>
          <w:szCs w:val="28"/>
          <w:shd w:val="clear" w:color="auto" w:fill="FFFFFF"/>
        </w:rPr>
        <w:t xml:space="preserve"> Исполнитель держит на уровне глаз в левой закрытой ладони черпак ложки, ручка которой направлена вверх. Резонатором в данном случае служит полость между черпаком и углубление левой ладони. Высота звука меняется за счет нажатия и расслабления второго, третьего, четвертого, пятого пальцев левой руки. В правой руке обучаемый держит ложку за ручку (рис. 5).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both"/>
        <w:rPr>
          <w:color w:val="222222"/>
          <w:sz w:val="28"/>
          <w:szCs w:val="28"/>
          <w:shd w:val="clear" w:color="auto" w:fill="FFFFFF"/>
        </w:rPr>
      </w:pP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5B120D43" wp14:editId="5E93AA5D">
            <wp:extent cx="3314700" cy="2635250"/>
            <wp:effectExtent l="0" t="0" r="0" b="0"/>
            <wp:docPr id="4" name="Рисунок 4" descr="IMG_20200310_11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310_1103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color w:val="222222"/>
          <w:sz w:val="28"/>
          <w:szCs w:val="28"/>
          <w:shd w:val="clear" w:color="auto" w:fill="FFFFFF"/>
        </w:rPr>
        <w:t>(рис. 5)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both"/>
        <w:rPr>
          <w:color w:val="222222"/>
          <w:sz w:val="28"/>
          <w:szCs w:val="28"/>
          <w:shd w:val="clear" w:color="auto" w:fill="FFFFFF"/>
        </w:rPr>
      </w:pPr>
      <w:r w:rsidRPr="00F52C0E">
        <w:rPr>
          <w:bCs/>
          <w:color w:val="222222"/>
          <w:sz w:val="28"/>
          <w:szCs w:val="28"/>
          <w:shd w:val="clear" w:color="auto" w:fill="FFFFFF"/>
        </w:rPr>
        <w:t>Вариант</w:t>
      </w:r>
      <w:proofErr w:type="gramStart"/>
      <w:r w:rsidRPr="00F52C0E">
        <w:rPr>
          <w:bCs/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Pr="00F52C0E">
        <w:rPr>
          <w:bCs/>
          <w:color w:val="222222"/>
          <w:sz w:val="28"/>
          <w:szCs w:val="28"/>
          <w:shd w:val="clear" w:color="auto" w:fill="FFFFFF"/>
        </w:rPr>
        <w:t>:</w:t>
      </w:r>
      <w:r w:rsidRPr="00F52C0E">
        <w:rPr>
          <w:color w:val="222222"/>
          <w:sz w:val="28"/>
          <w:szCs w:val="28"/>
          <w:shd w:val="clear" w:color="auto" w:fill="FFFFFF"/>
        </w:rPr>
        <w:t xml:space="preserve"> Исполнитель держит парные ложки в правой руке за ручки, вверх черпаками на уровне глаз, где находится и левая рука. Движение ложек и рук можно построить как переклички, поделив детей на 2 группы. Возможны повороты корпуса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F52C0E">
        <w:rPr>
          <w:color w:val="222222"/>
          <w:sz w:val="28"/>
          <w:szCs w:val="28"/>
          <w:shd w:val="clear" w:color="auto" w:fill="FFFFFF"/>
        </w:rPr>
        <w:t>р</w:t>
      </w:r>
      <w:proofErr w:type="gramEnd"/>
      <w:r w:rsidRPr="00F52C0E">
        <w:rPr>
          <w:color w:val="222222"/>
          <w:sz w:val="28"/>
          <w:szCs w:val="28"/>
          <w:shd w:val="clear" w:color="auto" w:fill="FFFFFF"/>
        </w:rPr>
        <w:t>ис. 6).</w:t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1FBA89F" wp14:editId="0E80B8C0">
            <wp:extent cx="3638550" cy="2717800"/>
            <wp:effectExtent l="0" t="0" r="0" b="6350"/>
            <wp:docPr id="3" name="Рисунок 3" descr="IMG_20200310_11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310_1116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0E" w:rsidRPr="00F52C0E" w:rsidRDefault="00F52C0E" w:rsidP="00F52C0E">
      <w:pPr>
        <w:pStyle w:val="a6"/>
        <w:spacing w:before="0" w:beforeAutospacing="0" w:after="150" w:afterAutospacing="0"/>
        <w:ind w:left="1068"/>
        <w:jc w:val="center"/>
        <w:rPr>
          <w:color w:val="222222"/>
          <w:sz w:val="28"/>
          <w:szCs w:val="28"/>
          <w:shd w:val="clear" w:color="auto" w:fill="FFFFFF"/>
        </w:rPr>
      </w:pPr>
      <w:r w:rsidRPr="00F52C0E">
        <w:rPr>
          <w:color w:val="222222"/>
          <w:sz w:val="28"/>
          <w:szCs w:val="28"/>
          <w:shd w:val="clear" w:color="auto" w:fill="FFFFFF"/>
        </w:rPr>
        <w:t>(рис. 6)</w:t>
      </w:r>
    </w:p>
    <w:p w:rsidR="00BF7184" w:rsidRPr="00F52C0E" w:rsidRDefault="00BF7184"/>
    <w:sectPr w:rsidR="00BF7184" w:rsidRPr="00F5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2E9"/>
    <w:multiLevelType w:val="hybridMultilevel"/>
    <w:tmpl w:val="B96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107"/>
    <w:multiLevelType w:val="hybridMultilevel"/>
    <w:tmpl w:val="DB34F1E0"/>
    <w:lvl w:ilvl="0" w:tplc="BFF6F81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1844"/>
    <w:multiLevelType w:val="hybridMultilevel"/>
    <w:tmpl w:val="6F1295EC"/>
    <w:lvl w:ilvl="0" w:tplc="A348B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E"/>
    <w:rsid w:val="000A5036"/>
    <w:rsid w:val="00BF7184"/>
    <w:rsid w:val="00F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C0E"/>
    <w:rPr>
      <w:b/>
      <w:bCs/>
    </w:rPr>
  </w:style>
  <w:style w:type="paragraph" w:styleId="a8">
    <w:name w:val="List Paragraph"/>
    <w:basedOn w:val="a"/>
    <w:uiPriority w:val="34"/>
    <w:qFormat/>
    <w:rsid w:val="00F52C0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52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52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C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C0E"/>
    <w:rPr>
      <w:b/>
      <w:bCs/>
    </w:rPr>
  </w:style>
  <w:style w:type="paragraph" w:styleId="a8">
    <w:name w:val="List Paragraph"/>
    <w:basedOn w:val="a"/>
    <w:uiPriority w:val="34"/>
    <w:qFormat/>
    <w:rsid w:val="00F52C0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52C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52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2022-04-12T17:08:00Z</dcterms:created>
  <dcterms:modified xsi:type="dcterms:W3CDTF">2022-04-12T18:25:00Z</dcterms:modified>
</cp:coreProperties>
</file>